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60" w:before="0" w:after="225"/>
        <w:ind w:left="240" w:right="-77" w:hanging="0"/>
        <w:jc w:val="right"/>
        <w:rPr/>
      </w:pPr>
      <w:r>
        <w:rPr/>
        <w:t>平成</w:t>
      </w:r>
      <w:r>
        <w:rPr/>
        <w:t>30</w:t>
      </w:r>
      <w:r>
        <w:rPr/>
        <w:t>年</w:t>
      </w:r>
      <w:r>
        <w:rPr/>
        <w:t>12</w:t>
      </w:r>
      <w:r>
        <w:rPr/>
        <w:t>月</w:t>
      </w:r>
      <w:r>
        <w:rPr/>
        <w:t>26</w:t>
      </w:r>
      <w:r>
        <w:rPr/>
        <w:t>日</w:t>
      </w:r>
    </w:p>
    <w:p>
      <w:pPr>
        <w:pStyle w:val="Normal"/>
        <w:spacing w:lineRule="exact" w:line="260" w:before="0" w:after="225"/>
        <w:ind w:left="249" w:right="-77" w:hanging="0"/>
        <w:jc w:val="right"/>
        <w:rPr/>
      </w:pPr>
      <w:r>
        <w:rPr>
          <w:spacing w:val="83"/>
          <w:w w:val="85"/>
        </w:rPr>
        <w:t>西都市</w:t>
      </w:r>
      <w:r>
        <w:rPr>
          <w:spacing w:val="83"/>
          <w:w w:val="81"/>
        </w:rPr>
        <w:t>教育委員</w:t>
      </w:r>
      <w:r>
        <w:rPr>
          <w:spacing w:val="6"/>
          <w:w w:val="81"/>
        </w:rPr>
        <w:t>会</w:t>
      </w:r>
    </w:p>
    <w:p>
      <w:pPr>
        <w:pStyle w:val="Normal"/>
        <w:spacing w:lineRule="exact" w:line="260" w:before="0" w:after="225"/>
        <w:ind w:left="249" w:right="-77" w:firstLine="6120"/>
        <w:rPr/>
      </w:pPr>
      <w:r>
        <w:rPr/>
      </w:r>
    </w:p>
    <w:p>
      <w:pPr>
        <w:pStyle w:val="Normal"/>
        <w:spacing w:lineRule="auto" w:line="292" w:before="0" w:after="225"/>
        <w:ind w:left="247" w:right="-77" w:hanging="0"/>
        <w:jc w:val="center"/>
        <w:rPr>
          <w:rFonts w:ascii="ＭＳ ゴシック" w:hAnsi="ＭＳ ゴシック" w:eastAsia="ＭＳ ゴシック"/>
          <w:b/>
          <w:b/>
          <w:sz w:val="32"/>
        </w:rPr>
      </w:pPr>
      <w:bookmarkStart w:id="0" w:name="_GoBack"/>
      <w:bookmarkEnd w:id="0"/>
      <w:r>
        <w:rPr>
          <w:rFonts w:ascii="ＭＳ ゴシック" w:hAnsi="ＭＳ ゴシック" w:eastAsia="ＭＳ ゴシック"/>
          <w:b/>
          <w:sz w:val="32"/>
        </w:rPr>
        <w:t>西都市立中学校における運動部活動の方針</w:t>
      </w:r>
    </w:p>
    <w:p>
      <w:pPr>
        <w:pStyle w:val="Normal"/>
        <w:spacing w:lineRule="auto" w:line="292" w:before="0" w:after="225"/>
        <w:ind w:left="247" w:right="-77" w:hanging="0"/>
        <w:jc w:val="center"/>
        <w:rPr>
          <w:rFonts w:ascii="ＭＳ ゴシック" w:hAnsi="ＭＳ ゴシック" w:eastAsia="ＭＳ ゴシック"/>
          <w:b/>
          <w:b/>
        </w:rPr>
      </w:pPr>
      <w:r>
        <w:rPr>
          <w:rFonts w:eastAsia="ＭＳ ゴシック" w:ascii="ＭＳ ゴシック" w:hAnsi="ＭＳ ゴシック"/>
          <w:b/>
        </w:rPr>
      </w:r>
    </w:p>
    <w:p>
      <w:pPr>
        <w:pStyle w:val="Normal"/>
        <w:spacing w:lineRule="auto" w:line="259" w:before="0" w:after="174"/>
        <w:ind w:left="10" w:hanging="0"/>
        <w:rPr>
          <w:rFonts w:ascii="ＭＳ ゴシック" w:hAnsi="ＭＳ ゴシック" w:eastAsia="ＭＳ ゴシック"/>
          <w:b/>
          <w:b/>
        </w:rPr>
      </w:pPr>
      <w:r>
        <w:rPr>
          <w:rFonts w:ascii="ＭＳ ゴシック" w:hAnsi="ＭＳ ゴシック" w:eastAsia="ＭＳ ゴシック"/>
          <w:b/>
          <w:sz w:val="28"/>
        </w:rPr>
        <w:t>本方針策定の趣旨等</w:t>
      </w:r>
      <w:r>
        <w:rPr>
          <w:rFonts w:ascii="ＭＳ ゴシック" w:hAnsi="ＭＳ ゴシック" w:cs="Century" w:eastAsia="ＭＳ ゴシック"/>
          <w:b/>
          <w:sz w:val="28"/>
        </w:rPr>
        <w:t xml:space="preserve"> </w:t>
      </w:r>
    </w:p>
    <w:p>
      <w:pPr>
        <w:pStyle w:val="Normal"/>
        <w:ind w:left="240" w:firstLine="240"/>
        <w:rPr/>
      </w:pPr>
      <w:r>
        <w:rPr/>
        <w:t>学校の運動部活動は、スポーツに興味・関心のある同好の生徒が参加し、運動部顧問の指導の下、学校教育の一環として行われ、体力や技能の向上を図る目的以外にも、異年齢との交流の中で、生徒同士や生徒と教師等との好ましい人間関係の構築、学習意欲の向上や自己肯定感、責任感、連帯感の涵養に資するなど、生徒の多様な学びの場として、教育的意義が大きい。</w:t>
      </w:r>
      <w:r>
        <w:rPr>
          <w:rFonts w:ascii="Century" w:hAnsi="Century" w:cs="Century" w:eastAsia="Century"/>
        </w:rPr>
        <w:t xml:space="preserve"> </w:t>
      </w:r>
    </w:p>
    <w:p>
      <w:pPr>
        <w:pStyle w:val="Normal"/>
        <w:ind w:left="305" w:right="-77" w:firstLine="240"/>
        <w:rPr/>
      </w:pPr>
      <w:r>
        <w:rPr/>
        <w:t>一方で、少子化が進展する中、運動部活動においては、従前と同様の運営体制では維持が難しくなっており、学校</w:t>
      </w:r>
      <w:r>
        <w:rPr>
          <w:sz w:val="12"/>
        </w:rPr>
        <w:t xml:space="preserve"> </w:t>
      </w:r>
      <w:r>
        <w:rPr/>
        <w:t>や地域によっては存続の危機にある。また、「</w:t>
      </w:r>
      <w:r>
        <w:rPr>
          <w:sz w:val="16"/>
        </w:rPr>
        <w:t xml:space="preserve"> </w:t>
      </w:r>
      <w:r>
        <w:rPr/>
        <w:t>学校における働き方改革」の中で部活動指導時間が課題となっている現状を踏まえ、運動部活動の在り方に関し、抜本的な改革に取り組む必要がある。</w:t>
      </w:r>
      <w:r>
        <w:rPr>
          <w:rFonts w:ascii="Century" w:hAnsi="Century" w:cs="Century" w:eastAsia="Century"/>
        </w:rPr>
        <w:t xml:space="preserve">  </w:t>
      </w:r>
    </w:p>
    <w:p>
      <w:pPr>
        <w:pStyle w:val="Normal"/>
        <w:spacing w:before="0" w:after="201"/>
        <w:ind w:left="283" w:firstLine="240"/>
        <w:rPr/>
      </w:pPr>
      <w:r>
        <w:rPr/>
        <w:t>本方針は、西都市立学校における中学校段階の運動部活動を主な対象とし、生徒にとって望ましいスポーツ環境を構築するという観点に立ち、運動部活動が以下の点を重視して、地域、学校、競技種目等に応じた多様な形で最適に実施されることを目指す。</w:t>
      </w:r>
      <w:r>
        <w:rPr>
          <w:rFonts w:ascii="Century" w:hAnsi="Century" w:cs="Century" w:eastAsia="Century"/>
        </w:rPr>
        <w:t xml:space="preserve"> </w:t>
      </w:r>
    </w:p>
    <w:p>
      <w:pPr>
        <w:pStyle w:val="Normal"/>
        <w:ind w:left="567" w:right="-77" w:hanging="250"/>
        <w:rPr/>
      </w:pPr>
      <w:r>
        <w:rPr/>
        <w:t>・　知・徳・体</w:t>
      </w:r>
      <w:r>
        <w:rPr>
          <w:sz w:val="16"/>
        </w:rPr>
        <w:t xml:space="preserve"> </w:t>
      </w:r>
      <w:r>
        <w:rPr/>
        <w:t>のバランスのとれた「</w:t>
      </w:r>
      <w:r>
        <w:rPr>
          <w:sz w:val="12"/>
        </w:rPr>
        <w:t xml:space="preserve"> </w:t>
      </w:r>
      <w:r>
        <w:rPr/>
        <w:t>生きる力」を育む、「日本型学校教育」の意義を踏まえ、生徒がスポーツを楽しむことで運動習慣の確立等を図り、生涯にわたって心身の健康を保持増進し、豊かなスポーツライフを実現するための資質・能力の育成を図るとともに、バランスのとれた心身の成長と学校生活を送ることができるようにすること。</w:t>
      </w:r>
      <w:r>
        <w:rPr>
          <w:rFonts w:ascii="Century" w:hAnsi="Century" w:cs="Century" w:eastAsia="Century"/>
        </w:rPr>
        <w:t xml:space="preserve"> </w:t>
      </w:r>
    </w:p>
    <w:p>
      <w:pPr>
        <w:pStyle w:val="Normal"/>
        <w:ind w:left="567" w:hanging="250"/>
        <w:rPr/>
      </w:pPr>
      <w:r>
        <w:rPr/>
        <w:t>・　生徒の自主的、自発的な参加により行われ、学校教育の一環として教育課程との関連を図り、合理的でかつ効率的・効果的に取り組むこと。</w:t>
      </w:r>
      <w:r>
        <w:rPr>
          <w:rFonts w:ascii="Century" w:hAnsi="Century" w:cs="Century" w:eastAsia="Century"/>
        </w:rPr>
        <w:t xml:space="preserve"> </w:t>
      </w:r>
    </w:p>
    <w:p>
      <w:pPr>
        <w:pStyle w:val="Normal"/>
        <w:spacing w:before="0" w:after="209"/>
        <w:ind w:left="284" w:hanging="0"/>
        <w:rPr/>
      </w:pPr>
      <w:r>
        <w:rPr/>
        <w:t>・　学校全体として運動部活動の指導・運営に係る体制を構築すること。</w:t>
      </w:r>
    </w:p>
    <w:p>
      <w:pPr>
        <w:pStyle w:val="Normal"/>
        <w:spacing w:lineRule="exact" w:line="20" w:before="240" w:after="218"/>
        <w:ind w:left="0" w:hanging="0"/>
        <w:rPr>
          <w:b/>
          <w:b/>
          <w:sz w:val="10"/>
          <w:szCs w:val="26"/>
          <w:u w:val="thick"/>
        </w:rPr>
      </w:pPr>
      <w:r>
        <w:rPr>
          <w:b/>
          <w:sz w:val="10"/>
          <w:szCs w:val="26"/>
          <w:u w:val="thick"/>
        </w:rPr>
      </w:r>
    </w:p>
    <w:p>
      <w:pPr>
        <w:pStyle w:val="Normal"/>
        <w:spacing w:lineRule="exact" w:line="300" w:before="240" w:after="218"/>
        <w:ind w:left="0" w:hanging="0"/>
        <w:rPr>
          <w:rFonts w:ascii="ＭＳ ゴシック" w:hAnsi="ＭＳ ゴシック" w:eastAsia="ＭＳ ゴシック" w:cs="Century"/>
          <w:b/>
          <w:b/>
          <w:sz w:val="28"/>
          <w:szCs w:val="28"/>
        </w:rPr>
      </w:pPr>
      <w:r>
        <w:rPr>
          <w:rFonts w:ascii="ＭＳ ゴシック" w:hAnsi="ＭＳ ゴシック" w:eastAsia="ＭＳ ゴシック"/>
          <w:b/>
          <w:sz w:val="28"/>
          <w:szCs w:val="28"/>
        </w:rPr>
        <w:t xml:space="preserve">１　適切な運営のための体制整備 </w:t>
      </w:r>
    </w:p>
    <w:p>
      <w:pPr>
        <w:pStyle w:val="Normal"/>
        <w:spacing w:lineRule="exact" w:line="300" w:before="0" w:after="218"/>
        <w:ind w:left="0" w:hanging="0"/>
        <w:rPr>
          <w:rFonts w:ascii="ＭＳ ゴシック" w:hAnsi="ＭＳ ゴシック" w:eastAsia="ＭＳ ゴシック" w:cs="Century"/>
          <w:b/>
          <w:b/>
          <w:sz w:val="26"/>
          <w:szCs w:val="26"/>
          <w:u w:val="thick"/>
        </w:rPr>
      </w:pPr>
      <w:r>
        <w:rPr>
          <w:rFonts w:ascii="ＭＳ ゴシック" w:hAnsi="ＭＳ ゴシック" w:eastAsia="ＭＳ ゴシック"/>
          <w:b/>
        </w:rPr>
        <w:t xml:space="preserve">（１）運動部活動の方針の策定等 </w:t>
      </w:r>
    </w:p>
    <w:p>
      <w:pPr>
        <w:pStyle w:val="Normal"/>
        <w:rPr/>
      </w:pPr>
      <w:r>
        <w:rPr/>
        <w:t>ア　校長は、本方針に則り、毎年度、「学校の運動部活動に係る活動方針」を策定する。</w:t>
      </w:r>
      <w:r>
        <w:rPr>
          <w:rFonts w:ascii="Century" w:hAnsi="Century" w:cs="Century" w:eastAsia="Century"/>
        </w:rPr>
        <w:t xml:space="preserve"> </w:t>
      </w:r>
    </w:p>
    <w:p>
      <w:pPr>
        <w:pStyle w:val="Normal"/>
        <w:ind w:left="430" w:firstLine="240"/>
        <w:rPr>
          <w:rFonts w:ascii="Century" w:hAnsi="Century" w:eastAsia="Century" w:cs="Century"/>
        </w:rPr>
      </w:pPr>
      <w:r>
        <w:rPr/>
        <w:t>運動部顧問は、学校の活動方針に則り、年間の活動計画（活動日、休養日及び参加予定大会日程等）並びに毎月の活動計画及び活動実績（活動日時・場所、休養日及び大会参加日等）を作成し、校長に提出する。</w:t>
      </w:r>
      <w:r>
        <w:rPr>
          <w:rFonts w:ascii="Century" w:hAnsi="Century" w:cs="Century" w:eastAsia="Century"/>
        </w:rPr>
        <w:t xml:space="preserve"> </w:t>
      </w:r>
    </w:p>
    <w:p>
      <w:pPr>
        <w:pStyle w:val="Normal"/>
        <w:ind w:left="430" w:firstLine="240"/>
        <w:rPr/>
      </w:pPr>
      <w:r>
        <w:rPr/>
      </w:r>
    </w:p>
    <w:p>
      <w:pPr>
        <w:pStyle w:val="Normal"/>
        <w:rPr/>
      </w:pPr>
      <w:r>
        <w:rPr/>
        <w:t>イ　校長は、上記アの活動方針及び活動計画等を学校のホームページへの掲載等により公表する。</w:t>
      </w:r>
      <w:r>
        <w:rPr>
          <w:rFonts w:ascii="Century" w:hAnsi="Century" w:cs="Century" w:eastAsia="Century"/>
        </w:rPr>
        <w:t xml:space="preserve"> </w:t>
      </w:r>
    </w:p>
    <w:p>
      <w:pPr>
        <w:pStyle w:val="Normal"/>
        <w:spacing w:lineRule="auto" w:line="259" w:before="0" w:after="54"/>
        <w:ind w:left="10" w:hanging="0"/>
        <w:rPr/>
      </w:pPr>
      <w:r>
        <w:rPr/>
        <w:t xml:space="preserve">   </w:t>
      </w:r>
      <w:r>
        <w:rPr>
          <w:rFonts w:ascii="Century" w:hAnsi="Century" w:cs="Century" w:eastAsia="Century"/>
        </w:rPr>
        <w:t xml:space="preserve"> </w:t>
      </w:r>
    </w:p>
    <w:p>
      <w:pPr>
        <w:pStyle w:val="ListParagraph"/>
        <w:numPr>
          <w:ilvl w:val="0"/>
          <w:numId w:val="1"/>
        </w:numPr>
        <w:spacing w:lineRule="exact" w:line="300" w:before="0" w:after="218"/>
        <w:rPr>
          <w:rFonts w:ascii="ＭＳ ゴシック" w:hAnsi="ＭＳ ゴシック" w:eastAsia="ＭＳ ゴシック"/>
        </w:rPr>
      </w:pPr>
      <w:r>
        <w:rPr>
          <w:rFonts w:ascii="ＭＳ ゴシック" w:hAnsi="ＭＳ ゴシック" w:eastAsia="ＭＳ ゴシック"/>
          <w:b/>
        </w:rPr>
        <w:t xml:space="preserve">指導・運営に係る体制の構築 </w:t>
      </w:r>
      <w:r>
        <w:rPr>
          <w:rFonts w:ascii="ＭＳ ゴシック" w:hAnsi="ＭＳ ゴシック" w:eastAsia="ＭＳ ゴシック"/>
        </w:rPr>
        <w:t xml:space="preserve"> </w:t>
      </w:r>
    </w:p>
    <w:p>
      <w:pPr>
        <w:pStyle w:val="Normal"/>
        <w:ind w:left="480" w:hanging="240"/>
        <w:rPr/>
      </w:pPr>
      <w:r>
        <w:rPr/>
        <w:t>ア　校長は、生徒や教師の数、外部指導者の配置状況を踏まえ、指導内容の充実、生徒の安全の確保、教師の長時間勤務の解消等の観点から円滑に運動部活動を実施できるよう、適正な数の運動部を設置する。</w:t>
      </w:r>
      <w:r>
        <w:rPr>
          <w:rFonts w:ascii="Century" w:hAnsi="Century" w:cs="Century" w:eastAsia="Century"/>
        </w:rPr>
        <w:t xml:space="preserve"> </w:t>
      </w:r>
    </w:p>
    <w:p>
      <w:pPr>
        <w:pStyle w:val="Normal"/>
        <w:spacing w:lineRule="auto" w:line="259" w:before="0" w:after="44"/>
        <w:ind w:left="10" w:hanging="0"/>
        <w:rPr/>
      </w:pPr>
      <w:r>
        <w:rPr>
          <w:rFonts w:ascii="Century" w:hAnsi="Century" w:cs="Century" w:eastAsia="Century"/>
        </w:rPr>
        <w:t xml:space="preserve"> </w:t>
      </w:r>
    </w:p>
    <w:p>
      <w:pPr>
        <w:pStyle w:val="Normal"/>
        <w:rPr/>
      </w:pPr>
      <w:r>
        <w:rPr/>
        <w:t>イ　市教育委員会は、各学校の生徒や教師の数、外部指導者の配置状況や校務分担の実態等を踏まえ、部活動指導員を予算の範囲内で任用し、学校に配置する。</w:t>
      </w:r>
      <w:r>
        <w:rPr>
          <w:rFonts w:ascii="Century" w:hAnsi="Century" w:cs="Century" w:eastAsia="Century"/>
        </w:rPr>
        <w:t xml:space="preserve"> </w:t>
      </w:r>
    </w:p>
    <w:p>
      <w:pPr>
        <w:pStyle w:val="Normal"/>
        <w:spacing w:before="0" w:after="55"/>
        <w:ind w:left="456" w:hanging="250"/>
        <w:rPr/>
      </w:pPr>
      <w:r>
        <w:rPr/>
        <w:t xml:space="preserve">  </w:t>
      </w:r>
      <w:r>
        <w:rPr/>
        <w:t>　なお、部活動指導員の任用・配置に当たっては、学校教育について理解し、適切な指導を行うために、部活動の位置付け、教育的意義、生徒の発達の段階に応じた科学的な指導、安全の確保や事故発生後の対応を適切に行うこと、生徒の人格を傷つける言動や、体罰は、いかなる場合も許されないこと、服務に関する規定（校長の監督を受けることや生徒、保護者等の信頼を損ねるような行為の禁止等）を遵守すること等に関し、宮崎県教育委員会と連携し、任用前及び任用後の定期において研修を行う。</w:t>
      </w:r>
      <w:r>
        <w:rPr>
          <w:rFonts w:ascii="Century" w:hAnsi="Century" w:cs="Century" w:eastAsia="Century"/>
        </w:rPr>
        <w:t xml:space="preserve"> </w:t>
      </w:r>
    </w:p>
    <w:p>
      <w:pPr>
        <w:pStyle w:val="Normal"/>
        <w:spacing w:lineRule="auto" w:line="259" w:before="0" w:after="50"/>
        <w:ind w:left="10" w:hanging="0"/>
        <w:rPr/>
      </w:pPr>
      <w:r>
        <w:rPr/>
        <w:t xml:space="preserve"> </w:t>
      </w:r>
      <w:r>
        <w:rPr>
          <w:rFonts w:ascii="Century" w:hAnsi="Century" w:cs="Century" w:eastAsia="Century"/>
        </w:rPr>
        <w:t xml:space="preserve"> </w:t>
      </w:r>
    </w:p>
    <w:p>
      <w:pPr>
        <w:pStyle w:val="Normal"/>
        <w:ind w:left="471" w:right="-77" w:hanging="250"/>
        <w:rPr/>
      </w:pPr>
      <w:r>
        <w:rPr/>
        <w:t>ウ　校長は、運動部顧問の決定に当たっては、校務全体の効率的・効果的な実施に鑑み</w:t>
      </w:r>
      <w:r>
        <w:rPr>
          <w:sz w:val="18"/>
        </w:rPr>
        <w:t>、</w:t>
      </w:r>
      <w:r>
        <w:rPr/>
        <w:t>教師の他の校務分掌や、外部指導者・部活動指導員の配置状況を勘案した上で行うなど、適切な校務分掌となるよう留意するとともに、学校全体としての適切な指導、運営及び管理に係る体制の構築を図る。</w:t>
      </w:r>
      <w:r>
        <w:rPr>
          <w:rFonts w:ascii="Century" w:hAnsi="Century" w:cs="Century" w:eastAsia="Century"/>
        </w:rPr>
        <w:t xml:space="preserve"> </w:t>
      </w:r>
    </w:p>
    <w:p>
      <w:pPr>
        <w:pStyle w:val="Normal"/>
        <w:spacing w:lineRule="auto" w:line="259" w:before="0" w:after="43"/>
        <w:ind w:left="10" w:hanging="0"/>
        <w:rPr/>
      </w:pPr>
      <w:r>
        <w:rPr>
          <w:rFonts w:ascii="Century" w:hAnsi="Century" w:cs="Century" w:eastAsia="Century"/>
        </w:rPr>
        <w:t xml:space="preserve"> </w:t>
      </w:r>
    </w:p>
    <w:p>
      <w:pPr>
        <w:pStyle w:val="Normal"/>
        <w:rPr/>
      </w:pPr>
      <w:r>
        <w:rPr/>
        <w:t>エ　校長は、毎月の活動計画及び活動実績の確認等により、各運動部の活動内容を把握し、生徒が安全にスポーツ活動を行い、教師の負担が過度とならないよう、適宜、指導・是正を行う。</w:t>
      </w:r>
      <w:r>
        <w:rPr>
          <w:rFonts w:ascii="Century" w:hAnsi="Century" w:cs="Century" w:eastAsia="Century"/>
        </w:rPr>
        <w:t xml:space="preserve"> </w:t>
      </w:r>
    </w:p>
    <w:p>
      <w:pPr>
        <w:pStyle w:val="Normal"/>
        <w:spacing w:lineRule="auto" w:line="259" w:before="0" w:after="0"/>
        <w:ind w:left="480" w:hanging="480"/>
        <w:rPr/>
      </w:pPr>
      <w:r>
        <w:rPr>
          <w:rFonts w:ascii="Century" w:hAnsi="Century" w:cs="Century" w:eastAsia="Century"/>
        </w:rPr>
        <w:t xml:space="preserve"> </w:t>
      </w:r>
      <w:r>
        <w:rPr/>
        <w:t xml:space="preserve"> </w:t>
      </w:r>
    </w:p>
    <w:p>
      <w:pPr>
        <w:pStyle w:val="Normal"/>
        <w:spacing w:lineRule="auto" w:line="259" w:before="0" w:after="0"/>
        <w:ind w:left="480" w:hanging="240"/>
        <w:rPr/>
      </w:pPr>
      <w:r>
        <w:rPr/>
        <w:t>オ　市教育委員会は、宮崎県教育委員会と連携し、運動部顧問を対象とするスポーツ指導に係る知識及び実技の質の向上並びに学校の管理職を対象とする運動部活動の適切な運営に係る実効性の確保を図るための研修等の取組を行う。</w:t>
      </w:r>
    </w:p>
    <w:p>
      <w:pPr>
        <w:pStyle w:val="Normal"/>
        <w:spacing w:lineRule="auto" w:line="259" w:before="0" w:after="0"/>
        <w:ind w:left="480" w:hanging="240"/>
        <w:rPr/>
      </w:pPr>
      <w:r>
        <w:rPr>
          <w:rFonts w:ascii="Century" w:hAnsi="Century" w:cs="Century" w:eastAsia="Century"/>
        </w:rPr>
        <w:t xml:space="preserve"> </w:t>
      </w:r>
    </w:p>
    <w:p>
      <w:pPr>
        <w:pStyle w:val="Normal"/>
        <w:spacing w:lineRule="auto" w:line="292" w:before="0" w:after="28"/>
        <w:ind w:left="471" w:right="64" w:hanging="250"/>
        <w:rPr/>
      </w:pPr>
      <w:r>
        <w:rPr/>
        <w:t>カ　市教育委員会及び校長は、教師の運動部活動への関与について、「</w:t>
      </w:r>
      <w:r>
        <w:rPr>
          <w:sz w:val="16"/>
        </w:rPr>
        <w:t xml:space="preserve"> </w:t>
      </w:r>
      <w:r>
        <w:rPr/>
        <w:t>学校における働き方改革に関する緊急対策</w:t>
      </w:r>
      <w:r>
        <w:rPr/>
        <w:t>(</w:t>
      </w:r>
      <w:r>
        <w:rPr/>
        <w:t>平成</w:t>
      </w:r>
      <w:r>
        <w:rPr/>
        <w:t>29</w:t>
      </w:r>
      <w:r>
        <w:rPr/>
        <w:t>年</w:t>
      </w:r>
      <w:r>
        <w:rPr/>
        <w:t>12</w:t>
      </w:r>
      <w:r>
        <w:rPr/>
        <w:t>月</w:t>
      </w:r>
      <w:r>
        <w:rPr/>
        <w:t>26</w:t>
      </w:r>
      <w:r>
        <w:rPr/>
        <w:t>日文部科学大臣決定）」及び「</w:t>
      </w:r>
      <w:r>
        <w:rPr>
          <w:sz w:val="16"/>
        </w:rPr>
        <w:t xml:space="preserve"> </w:t>
      </w:r>
      <w:r>
        <w:rPr/>
        <w:t xml:space="preserve">学校における働き方改革に関する緊急対策の策定並びに学校における業務改善及び勤務時間管理等に係る取組の徹底について（平成 </w:t>
      </w:r>
      <w:r>
        <w:rPr/>
        <w:t>30</w:t>
      </w:r>
      <w:r>
        <w:rPr/>
        <w:t>年２月９日付け</w:t>
      </w:r>
      <w:r>
        <w:rPr/>
        <w:t>29</w:t>
      </w:r>
      <w:r>
        <w:rPr/>
        <w:t xml:space="preserve">文科初第 </w:t>
      </w:r>
      <w:r>
        <w:rPr/>
        <w:t>1437</w:t>
      </w:r>
      <w:r>
        <w:rPr/>
        <w:t xml:space="preserve">号」を踏まえ、法令に則り、業務改善及び勤務時間管理等を行う。 </w:t>
      </w:r>
    </w:p>
    <w:p>
      <w:pPr>
        <w:pStyle w:val="Normal"/>
        <w:spacing w:lineRule="auto" w:line="292" w:before="0" w:after="28"/>
        <w:ind w:left="471" w:right="118" w:hanging="250"/>
        <w:rPr/>
      </w:pPr>
      <w:r>
        <w:rPr/>
      </w:r>
    </w:p>
    <w:p>
      <w:pPr>
        <w:pStyle w:val="Normal"/>
        <w:spacing w:lineRule="auto" w:line="292" w:before="0" w:after="28"/>
        <w:ind w:left="0" w:right="118" w:hanging="0"/>
        <w:rPr>
          <w:rFonts w:ascii="ＭＳ ゴシック" w:hAnsi="ＭＳ ゴシック" w:eastAsia="ＭＳ ゴシック"/>
          <w:b/>
          <w:b/>
          <w:sz w:val="28"/>
          <w:szCs w:val="28"/>
        </w:rPr>
      </w:pPr>
      <w:r>
        <w:rPr>
          <w:rFonts w:ascii="ＭＳ ゴシック" w:hAnsi="ＭＳ ゴシック" w:eastAsia="ＭＳ ゴシック"/>
          <w:b/>
          <w:sz w:val="28"/>
          <w:szCs w:val="28"/>
        </w:rPr>
        <w:t xml:space="preserve">２　合理的でかつ効率的・効果的な活動の推進のための取組 </w:t>
      </w:r>
    </w:p>
    <w:p>
      <w:pPr>
        <w:pStyle w:val="Normal"/>
        <w:spacing w:lineRule="exact" w:line="180" w:before="0" w:after="28"/>
        <w:ind w:left="0" w:right="119" w:hanging="0"/>
        <w:rPr>
          <w:b/>
          <w:b/>
          <w:sz w:val="26"/>
          <w:szCs w:val="26"/>
          <w:u w:val="thick"/>
        </w:rPr>
      </w:pPr>
      <w:r>
        <w:rPr>
          <w:b/>
          <w:sz w:val="26"/>
          <w:szCs w:val="26"/>
          <w:u w:val="thick"/>
        </w:rPr>
      </w:r>
    </w:p>
    <w:p>
      <w:pPr>
        <w:pStyle w:val="Normal"/>
        <w:ind w:left="471" w:right="62" w:hanging="250"/>
        <w:rPr/>
      </w:pPr>
      <w:r>
        <w:rPr/>
        <w:t xml:space="preserve">ア　校長及び運動部顧問は、運動部活動の実施に当たっては、文部科学省が平成 </w:t>
      </w:r>
      <w:r>
        <w:rPr/>
        <w:t xml:space="preserve">25 </w:t>
      </w:r>
      <w:r>
        <w:rPr/>
        <w:t>年５月に作成した「運動部活動での指導のガイドライン」に則り、生徒の心身の健康管理（スポーツ</w:t>
      </w:r>
      <w:r>
        <w:rPr>
          <w:sz w:val="10"/>
        </w:rPr>
        <w:t xml:space="preserve"> </w:t>
      </w:r>
      <w:r>
        <w:rPr/>
        <w:t>障害・外傷の予防</w:t>
      </w:r>
      <w:r>
        <w:rPr>
          <w:sz w:val="14"/>
        </w:rPr>
        <w:t xml:space="preserve"> </w:t>
      </w:r>
      <w:r>
        <w:rPr/>
        <w:t>やバランスのとれた学校生活への配慮等を含む）、事故防止（活動場所における施設・設備の点検や活動における安全対策等）及び体罰・ハラスメントの根絶を徹底する。市教育委員会は、学校におけるこれらの取組が徹底されるよう、学校保健安全法等も踏まえ、適宜、支援及び指導・是正を行う。</w:t>
      </w:r>
      <w:r>
        <w:rPr>
          <w:rFonts w:ascii="Century" w:hAnsi="Century" w:cs="Century" w:eastAsia="Century"/>
        </w:rPr>
        <w:t xml:space="preserve"> </w:t>
      </w:r>
    </w:p>
    <w:p>
      <w:pPr>
        <w:pStyle w:val="Normal"/>
        <w:spacing w:lineRule="auto" w:line="259" w:before="0" w:after="43"/>
        <w:ind w:left="10" w:hanging="0"/>
        <w:rPr/>
      </w:pPr>
      <w:r>
        <w:rPr>
          <w:rFonts w:ascii="Century" w:hAnsi="Century" w:cs="Century" w:eastAsia="Century"/>
        </w:rPr>
        <w:t xml:space="preserve">  </w:t>
      </w:r>
    </w:p>
    <w:p>
      <w:pPr>
        <w:pStyle w:val="Normal"/>
        <w:rPr/>
      </w:pPr>
      <w:r>
        <w:rPr/>
        <w:t>イ　運動部顧問は、スポーツ医・科学の見地からは、トレーニング効果を得るために休養を適切に取ることが必要であること、また、過度の練習がスポーツ障害・外傷のリスクを高め、必ずしも体力・運動能力の向上につながらないこと等を正しく理解するとともに、生徒の体力の向上や、生涯を通じてスポーツに親しむ基礎を培うことができるよう、生徒とコミュニケーションを十分に図り、生徒がバーンアウトすることなく、技能や記録の向上等それぞれの目標を達成できるよう、競技種目の特性等を踏まえた科学的トレーニングの積極的な導入等により、休養を適切に取りつつ、短時間で効果が得られる指導を行う。</w:t>
      </w:r>
      <w:r>
        <w:rPr>
          <w:rFonts w:ascii="Century" w:hAnsi="Century" w:cs="Century" w:eastAsia="Century"/>
        </w:rPr>
        <w:t xml:space="preserve"> </w:t>
      </w:r>
    </w:p>
    <w:p>
      <w:pPr>
        <w:pStyle w:val="Normal"/>
        <w:ind w:left="480" w:hanging="240"/>
        <w:rPr/>
      </w:pPr>
      <w:r>
        <w:rPr/>
        <w:t xml:space="preserve">  </w:t>
      </w:r>
      <w:r>
        <w:rPr/>
        <w:t>　また、専門的知見を有する保健体育担当の教師や養護教諭等と連携・協力し、発達の個人差や女子の成長期における体と心の状態等に関する正しい知識を得た上で指導を行う。</w:t>
      </w:r>
    </w:p>
    <w:p>
      <w:pPr>
        <w:pStyle w:val="Normal"/>
        <w:ind w:left="480" w:hanging="240"/>
        <w:rPr/>
      </w:pPr>
      <w:r>
        <w:rPr>
          <w:rFonts w:ascii="Century" w:hAnsi="Century" w:cs="Century" w:eastAsia="Century"/>
        </w:rPr>
        <w:t xml:space="preserve"> </w:t>
      </w:r>
    </w:p>
    <w:p>
      <w:pPr>
        <w:pStyle w:val="Normal"/>
        <w:spacing w:before="0" w:after="61"/>
        <w:ind w:left="456" w:right="-218" w:hanging="250"/>
        <w:rPr/>
      </w:pPr>
      <w:r>
        <w:rPr/>
        <w:t>ウ　運動部顧問は、中央競技団体が作成した「運動部活動における合理的でかつ効率的・効果的な活動のための指導手引」を活用して、ア及びイに基づく指導を行う。</w:t>
      </w:r>
      <w:r>
        <w:rPr>
          <w:rFonts w:ascii="Century" w:hAnsi="Century" w:cs="Century" w:eastAsia="Century"/>
        </w:rPr>
        <w:t xml:space="preserve"> </w:t>
      </w:r>
    </w:p>
    <w:p>
      <w:pPr>
        <w:pStyle w:val="Normal"/>
        <w:spacing w:lineRule="exact" w:line="20" w:before="240" w:after="218"/>
        <w:ind w:left="0" w:hanging="0"/>
        <w:rPr>
          <w:b/>
          <w:b/>
          <w:sz w:val="10"/>
          <w:szCs w:val="26"/>
          <w:u w:val="thick"/>
        </w:rPr>
      </w:pPr>
      <w:r>
        <w:rPr>
          <w:b/>
          <w:sz w:val="10"/>
          <w:szCs w:val="26"/>
          <w:u w:val="thick"/>
        </w:rPr>
      </w:r>
    </w:p>
    <w:p>
      <w:pPr>
        <w:pStyle w:val="Normal"/>
        <w:spacing w:lineRule="auto" w:line="259" w:before="0" w:after="240"/>
        <w:ind w:left="10" w:hanging="0"/>
        <w:rPr>
          <w:rFonts w:ascii="ＭＳ ゴシック" w:hAnsi="ＭＳ ゴシック" w:eastAsia="ＭＳ ゴシック"/>
          <w:sz w:val="28"/>
          <w:szCs w:val="28"/>
        </w:rPr>
      </w:pPr>
      <w:r>
        <w:rPr>
          <w:rFonts w:ascii="ＭＳ ゴシック" w:hAnsi="ＭＳ ゴシック" w:eastAsia="ＭＳ ゴシック"/>
          <w:b/>
          <w:sz w:val="28"/>
          <w:szCs w:val="28"/>
        </w:rPr>
        <w:t>３　適切な休養日等の設定</w:t>
      </w:r>
    </w:p>
    <w:p>
      <w:pPr>
        <w:pStyle w:val="Normal"/>
        <w:ind w:left="456" w:hanging="250"/>
        <w:rPr/>
      </w:pPr>
      <w:r>
        <w:rPr/>
        <w:t>ア　運動部活動における休養日及び活動時間については、成長期にある生徒が、運動、食事、休養及び睡眠のバランスのとれた生活を送ることができるよう、スポーツ医・</w:t>
      </w:r>
    </w:p>
    <w:p>
      <w:pPr>
        <w:pStyle w:val="Normal"/>
        <w:ind w:left="480" w:hanging="0"/>
        <w:rPr/>
      </w:pPr>
      <w:r>
        <w:rPr/>
        <w:t>科学の観点からジュニア期におけるスポーツ活動時間に関する研究も踏まえ、以下を基準とする。</w:t>
      </w:r>
    </w:p>
    <w:p>
      <w:pPr>
        <w:pStyle w:val="Normal"/>
        <w:ind w:left="480" w:hanging="0"/>
        <w:rPr/>
      </w:pPr>
      <w:r>
        <w:rPr/>
      </w:r>
    </w:p>
    <w:p>
      <w:pPr>
        <w:pStyle w:val="ListParagraph"/>
        <w:numPr>
          <w:ilvl w:val="0"/>
          <w:numId w:val="2"/>
        </w:numPr>
        <w:rPr>
          <w:szCs w:val="24"/>
        </w:rPr>
      </w:pPr>
      <w:r>
        <w:rPr/>
        <w:t xml:space="preserve"> </w:t>
      </w:r>
      <w:r>
        <w:rPr/>
        <w:t>学期中の休養日の設定</w:t>
      </w:r>
    </w:p>
    <w:p>
      <w:pPr>
        <w:pStyle w:val="Normal"/>
        <w:ind w:left="720" w:firstLine="240"/>
        <w:rPr>
          <w:szCs w:val="24"/>
        </w:rPr>
      </w:pPr>
      <w:r>
        <w:rPr>
          <w:szCs w:val="24"/>
        </w:rPr>
        <w:t>週２日以上の休養日を設ける。（ 平日は少なくとも１日、土曜日及び日曜日（以下「週末</w:t>
      </w:r>
      <w:r>
        <w:rPr>
          <w:sz w:val="12"/>
          <w:szCs w:val="24"/>
        </w:rPr>
        <w:t xml:space="preserve"> </w:t>
      </w:r>
      <w:r>
        <w:rPr>
          <w:szCs w:val="24"/>
        </w:rPr>
        <w:t>」という。）は少なくとも１日以上を休養日とする。第３日曜日は「</w:t>
      </w:r>
      <w:r>
        <w:rPr>
          <w:sz w:val="12"/>
          <w:szCs w:val="24"/>
        </w:rPr>
        <w:t xml:space="preserve"> </w:t>
      </w:r>
      <w:r>
        <w:rPr>
          <w:szCs w:val="24"/>
        </w:rPr>
        <w:t>家庭の日」の趣旨を踏まえ、原則として部活動を実施しないこととする。週末及び家庭の日に大会参加等で活動した場合は、休養日を他の日に振り替える。）</w:t>
      </w:r>
    </w:p>
    <w:p>
      <w:pPr>
        <w:pStyle w:val="Normal"/>
        <w:ind w:left="480" w:hanging="0"/>
        <w:rPr/>
      </w:pPr>
      <w:r>
        <w:rPr/>
      </w:r>
    </w:p>
    <w:p>
      <w:pPr>
        <w:pStyle w:val="ListParagraph"/>
        <w:numPr>
          <w:ilvl w:val="0"/>
          <w:numId w:val="2"/>
        </w:numPr>
        <w:rPr>
          <w:szCs w:val="24"/>
        </w:rPr>
      </w:pPr>
      <w:r>
        <w:rPr/>
        <w:t xml:space="preserve"> </w:t>
      </w:r>
      <w:r>
        <w:rPr/>
        <w:t>長期休業中の休養日の設定</w:t>
      </w:r>
    </w:p>
    <w:p>
      <w:pPr>
        <w:pStyle w:val="Normal"/>
        <w:ind w:left="720" w:firstLine="240"/>
        <w:rPr>
          <w:szCs w:val="24"/>
        </w:rPr>
      </w:pPr>
      <w:r>
        <w:rPr>
          <w:szCs w:val="24"/>
        </w:rPr>
        <w:t>学期中の休養日の設定に準じた扱いを行う。また、生徒が十分な休養をとることができるとともに、運動部活動以外にも多様な活動を行うことができるよう、ある程度長期の休養期間（オフシーズン）を設ける。</w:t>
      </w:r>
    </w:p>
    <w:p>
      <w:pPr>
        <w:pStyle w:val="Normal"/>
        <w:ind w:left="480" w:hanging="0"/>
        <w:rPr/>
      </w:pPr>
      <w:r>
        <w:rPr/>
      </w:r>
    </w:p>
    <w:p>
      <w:pPr>
        <w:pStyle w:val="ListParagraph"/>
        <w:numPr>
          <w:ilvl w:val="0"/>
          <w:numId w:val="2"/>
        </w:numPr>
        <w:rPr>
          <w:szCs w:val="24"/>
        </w:rPr>
      </w:pPr>
      <w:r>
        <w:rPr/>
        <w:t xml:space="preserve"> </w:t>
      </w:r>
      <w:r>
        <w:rPr/>
        <w:t>１日の活動時間</w:t>
      </w:r>
    </w:p>
    <w:p>
      <w:pPr>
        <w:pStyle w:val="Normal"/>
        <w:ind w:left="720" w:firstLine="240"/>
        <w:rPr>
          <w:szCs w:val="24"/>
        </w:rPr>
      </w:pPr>
      <w:r>
        <w:rPr>
          <w:szCs w:val="24"/>
        </w:rPr>
        <w:t>長くとも平日は２時間程度、学校の休業日（学期中の週末を含む）は３時間程度とし、できるだけ短時間に、合理的でかつ効率的・効果的な活動を行う。</w:t>
      </w:r>
    </w:p>
    <w:p>
      <w:pPr>
        <w:pStyle w:val="Normal"/>
        <w:ind w:left="720" w:firstLine="240"/>
        <w:rPr>
          <w:szCs w:val="24"/>
        </w:rPr>
      </w:pPr>
      <w:r>
        <w:rPr>
          <w:szCs w:val="24"/>
        </w:rPr>
      </w:r>
    </w:p>
    <w:p>
      <w:pPr>
        <w:pStyle w:val="Normal"/>
        <w:rPr>
          <w:szCs w:val="24"/>
        </w:rPr>
      </w:pPr>
      <w:r>
        <w:rPr>
          <w:szCs w:val="24"/>
        </w:rPr>
        <w:t>　　・　県の競技力に関する指定校（競技力強化指定校、競技力向上推進校、拠点校）</w:t>
      </w:r>
    </w:p>
    <w:p>
      <w:pPr>
        <w:pStyle w:val="Normal"/>
        <w:ind w:left="960" w:hanging="0"/>
        <w:rPr>
          <w:szCs w:val="24"/>
        </w:rPr>
      </w:pPr>
      <w:r>
        <w:rPr>
          <w:szCs w:val="24"/>
        </w:rPr>
        <w:t>の指定部においても、原則、３ア①～③の基準に沿った活動とするよう努めることとする。ただし、指定校の趣旨を踏まえて、運用の工夫ができるものとする。その際、計画的に休養日及び活動時間を設定すること。</w:t>
      </w:r>
    </w:p>
    <w:p>
      <w:pPr>
        <w:pStyle w:val="Normal"/>
        <w:ind w:left="250" w:hanging="250"/>
        <w:rPr>
          <w:szCs w:val="24"/>
        </w:rPr>
      </w:pPr>
      <w:r>
        <w:rPr>
          <w:szCs w:val="24"/>
        </w:rPr>
      </w:r>
    </w:p>
    <w:p>
      <w:pPr>
        <w:pStyle w:val="Normal"/>
        <w:ind w:left="471" w:right="-77" w:hanging="250"/>
        <w:rPr/>
      </w:pPr>
      <w:r>
        <w:rPr/>
        <w:t>イ　校長は、１（１）に掲げる「学校の運動部活動に係る活動方針」の策定に当たっては、本方針に則り、上記の基準を踏まえた各運動部の休養日及び活動時間等を設定し</w:t>
      </w:r>
      <w:r>
        <w:rPr>
          <w:sz w:val="18"/>
        </w:rPr>
        <w:t>、</w:t>
      </w:r>
    </w:p>
    <w:p>
      <w:pPr>
        <w:pStyle w:val="Normal"/>
        <w:ind w:left="480" w:hanging="0"/>
        <w:rPr/>
      </w:pPr>
      <w:r>
        <w:rPr/>
        <w:t>公表する。また、各運動部の活動内容を把握し、適宜、指導・是正を行う等、その運用を徹底する。</w:t>
      </w:r>
      <w:r>
        <w:rPr>
          <w:rFonts w:ascii="Century" w:hAnsi="Century" w:cs="Century" w:eastAsia="Century"/>
        </w:rPr>
        <w:t xml:space="preserve"> </w:t>
      </w:r>
    </w:p>
    <w:p>
      <w:pPr>
        <w:pStyle w:val="Normal"/>
        <w:spacing w:lineRule="auto" w:line="259" w:before="0" w:after="43"/>
        <w:ind w:left="10" w:hanging="0"/>
        <w:rPr/>
      </w:pPr>
      <w:r>
        <w:rPr>
          <w:rFonts w:ascii="Century" w:hAnsi="Century" w:cs="Century" w:eastAsia="Century"/>
        </w:rPr>
        <w:t xml:space="preserve"> </w:t>
      </w:r>
    </w:p>
    <w:p>
      <w:pPr>
        <w:pStyle w:val="Normal"/>
        <w:ind w:left="471" w:right="-77" w:hanging="250"/>
        <w:rPr/>
      </w:pPr>
      <w:r>
        <w:rPr/>
        <w:t>ウ　なお、休養日及び活動時間等の設定については、地域や学校の実態を踏まえた工夫として、定期試験前後の一定期間等、運動部共通、学校全体の部活動休養日を設けることや、週間、月間、年間単位での活動頻度・時間の目安を定めることも考えられる</w:t>
      </w:r>
      <w:r>
        <w:rPr>
          <w:sz w:val="18"/>
        </w:rPr>
        <w:t>。</w:t>
      </w:r>
    </w:p>
    <w:p>
      <w:pPr>
        <w:pStyle w:val="Normal"/>
        <w:spacing w:lineRule="auto" w:line="259" w:before="0" w:after="48"/>
        <w:ind w:left="221" w:hanging="0"/>
        <w:rPr>
          <w:rFonts w:ascii="Century" w:hAnsi="Century" w:eastAsia="Century" w:cs="Century"/>
        </w:rPr>
      </w:pPr>
      <w:r>
        <w:rPr>
          <w:rFonts w:eastAsia="Century" w:cs="Century" w:ascii="Century" w:hAnsi="Century"/>
        </w:rPr>
      </w:r>
    </w:p>
    <w:p>
      <w:pPr>
        <w:pStyle w:val="Normal"/>
        <w:spacing w:lineRule="auto" w:line="259" w:before="0" w:after="48"/>
        <w:ind w:left="221" w:hanging="0"/>
        <w:rPr/>
      </w:pPr>
      <w:r>
        <w:rPr/>
        <w:t>エ　活動の際は、熱中症事故の防止の観点から、「熱中症予防運動指針」（公益財団法人</w:t>
      </w:r>
    </w:p>
    <w:p>
      <w:pPr>
        <w:pStyle w:val="Normal"/>
        <w:spacing w:lineRule="auto" w:line="259" w:before="0" w:after="48"/>
        <w:ind w:left="221" w:firstLine="240"/>
        <w:rPr/>
      </w:pPr>
      <w:r>
        <w:rPr/>
        <w:t>日本スポーツ協会）等を参考に、万全の安全対策を講じること。</w:t>
      </w:r>
    </w:p>
    <w:p>
      <w:pPr>
        <w:pStyle w:val="Normal"/>
        <w:spacing w:lineRule="auto" w:line="259" w:before="0" w:after="240"/>
        <w:rPr/>
      </w:pPr>
      <w:r>
        <w:rPr/>
      </w:r>
    </w:p>
    <w:p>
      <w:pPr>
        <w:pStyle w:val="Normal"/>
        <w:spacing w:lineRule="auto" w:line="259" w:before="0" w:after="240"/>
        <w:ind w:left="10" w:hanging="0"/>
        <w:rPr>
          <w:rFonts w:ascii="ＭＳ ゴシック" w:hAnsi="ＭＳ ゴシック" w:eastAsia="ＭＳ ゴシック"/>
          <w:b/>
          <w:b/>
          <w:sz w:val="28"/>
          <w:szCs w:val="28"/>
        </w:rPr>
      </w:pPr>
      <w:r>
        <w:rPr>
          <w:rFonts w:ascii="ＭＳ ゴシック" w:hAnsi="ＭＳ ゴシック" w:eastAsia="ＭＳ ゴシック"/>
          <w:b/>
          <w:sz w:val="28"/>
          <w:szCs w:val="28"/>
        </w:rPr>
        <w:t>４　生徒のニーズを踏まえたスポーツ環境の整備</w:t>
      </w:r>
    </w:p>
    <w:p>
      <w:pPr>
        <w:pStyle w:val="Normal"/>
        <w:spacing w:lineRule="exact" w:line="300" w:before="0" w:after="218"/>
        <w:ind w:left="0" w:hanging="0"/>
        <w:rPr>
          <w:rFonts w:ascii="ＭＳ ゴシック" w:hAnsi="ＭＳ ゴシック" w:eastAsia="ＭＳ ゴシック" w:cs="Century"/>
          <w:b/>
          <w:b/>
          <w:sz w:val="26"/>
          <w:szCs w:val="26"/>
          <w:u w:val="thick"/>
        </w:rPr>
      </w:pPr>
      <w:r>
        <w:rPr>
          <w:rFonts w:ascii="ＭＳ ゴシック" w:hAnsi="ＭＳ ゴシック" w:eastAsia="ＭＳ ゴシック"/>
          <w:b/>
        </w:rPr>
        <w:t xml:space="preserve">（１）生徒のニーズを踏まえた運動部の設置 </w:t>
      </w:r>
    </w:p>
    <w:p>
      <w:pPr>
        <w:pStyle w:val="Normal"/>
        <w:spacing w:lineRule="auto" w:line="259" w:before="0" w:after="48"/>
        <w:ind w:left="480" w:hanging="240"/>
        <w:rPr/>
      </w:pPr>
      <w:r>
        <w:rPr/>
        <w:t>ア　校長は、より多くの生徒の運動機会の創出が図られるよう、季節ごとに異なるスポーツを行う活動、競技志向でなくレクリエーション志向で行う活動、体力づくりを目的とした活動等、生徒の多様なニーズに応じた活動を行うことができる運動部の設置について検討する。</w:t>
      </w:r>
    </w:p>
    <w:p>
      <w:pPr>
        <w:pStyle w:val="Normal"/>
        <w:spacing w:lineRule="exact" w:line="200" w:before="0" w:after="43"/>
        <w:ind w:left="11" w:hanging="0"/>
        <w:rPr/>
      </w:pPr>
      <w:r>
        <w:rPr>
          <w:rFonts w:ascii="Century" w:hAnsi="Century" w:cs="Century" w:eastAsia="Century"/>
        </w:rPr>
        <w:t xml:space="preserve"> </w:t>
      </w:r>
    </w:p>
    <w:p>
      <w:pPr>
        <w:pStyle w:val="Normal"/>
        <w:ind w:left="480" w:hanging="240"/>
        <w:rPr/>
      </w:pPr>
      <w:r>
        <w:rPr/>
        <w:t>イ　市教育委員会及び学校は、単一の学校では特定の競技の運動部を設けることができない場合には、生徒のスポーツ活動の機会が損なわれることがないよう、学校体育関係団体と連携し、複数校の生徒が拠点校の運動部活動に参加する等、合同部活動等の取組を推進する。</w:t>
      </w:r>
    </w:p>
    <w:p>
      <w:pPr>
        <w:pStyle w:val="Normal"/>
        <w:ind w:left="480" w:hanging="240"/>
        <w:rPr/>
      </w:pPr>
      <w:r>
        <w:rPr/>
      </w:r>
    </w:p>
    <w:p>
      <w:pPr>
        <w:pStyle w:val="Normal"/>
        <w:spacing w:lineRule="exact" w:line="300" w:before="0" w:after="218"/>
        <w:ind w:left="0" w:hanging="0"/>
        <w:rPr>
          <w:rFonts w:ascii="ＭＳ ゴシック" w:hAnsi="ＭＳ ゴシック" w:eastAsia="ＭＳ ゴシック"/>
        </w:rPr>
      </w:pPr>
      <w:r>
        <w:rPr>
          <w:rFonts w:ascii="ＭＳ ゴシック" w:hAnsi="ＭＳ ゴシック" w:eastAsia="ＭＳ ゴシック"/>
          <w:b/>
        </w:rPr>
        <w:t>（２）地域との連携等</w:t>
      </w:r>
    </w:p>
    <w:p>
      <w:pPr>
        <w:pStyle w:val="Normal"/>
        <w:spacing w:lineRule="auto" w:line="259" w:before="0" w:after="43"/>
        <w:ind w:left="480" w:right="-77" w:hanging="240"/>
        <w:rPr>
          <w:rFonts w:ascii="Century" w:hAnsi="Century" w:eastAsia="Century" w:cs="Century"/>
          <w:szCs w:val="24"/>
        </w:rPr>
      </w:pPr>
      <w:r>
        <w:rPr/>
        <w:t>ア　市教育委員会及び校長は、生徒のスポーツ環境の充実の観点から、学校や地域の実態に応じて、地域のスポーツ団体との連携、保護者の理解と</w:t>
      </w:r>
      <w:r>
        <w:rPr>
          <w:szCs w:val="24"/>
        </w:rPr>
        <w:t>協力、民間事業者の活用等による、学校と地域が共に子どもを育てるという視点に立った、学校と地域が協働・融合した形での地域におけるスポーツ環境整備を進める。</w:t>
      </w:r>
      <w:r>
        <w:rPr>
          <w:rFonts w:ascii="Century" w:hAnsi="Century" w:cs="Century" w:eastAsia="Century"/>
          <w:szCs w:val="24"/>
        </w:rPr>
        <w:t xml:space="preserve"> </w:t>
      </w:r>
    </w:p>
    <w:p>
      <w:pPr>
        <w:pStyle w:val="Normal"/>
        <w:spacing w:lineRule="exact" w:line="200" w:before="0" w:after="43"/>
        <w:ind w:left="11" w:hanging="0"/>
        <w:rPr/>
      </w:pPr>
      <w:r>
        <w:rPr/>
      </w:r>
    </w:p>
    <w:p>
      <w:pPr>
        <w:pStyle w:val="Normal"/>
        <w:rPr/>
      </w:pPr>
      <w:r>
        <w:rPr/>
        <w:t>イ　県及び市教育委員会が実施する部活動指導員の任用・配置や運動部顧問等に対する研修等、スポーツ指導者の質の向上に関する取組について、関係機関及び関係団体等との協力体制の充実に努める。</w:t>
      </w:r>
      <w:r>
        <w:rPr>
          <w:rFonts w:ascii="Century" w:hAnsi="Century" w:cs="Century" w:eastAsia="Century"/>
        </w:rPr>
        <w:t xml:space="preserve"> </w:t>
      </w:r>
    </w:p>
    <w:p>
      <w:pPr>
        <w:pStyle w:val="Normal"/>
        <w:spacing w:lineRule="exact" w:line="200" w:before="0" w:after="43"/>
        <w:ind w:left="11" w:hanging="0"/>
        <w:rPr/>
      </w:pPr>
      <w:r>
        <w:rPr/>
      </w:r>
    </w:p>
    <w:p>
      <w:pPr>
        <w:pStyle w:val="Normal"/>
        <w:rPr/>
      </w:pPr>
      <w:r>
        <w:rPr/>
        <w:t>ウ　市教育委員会は、学校管理下ではない社会教育に位置づけられる活動については、各種保険への加入や、学校の負担が増加しないこと等に留意しつつ、生徒がスポーツに親しめる場所が確保できるよう、学校体育施設開放事業を推進する。</w:t>
      </w:r>
    </w:p>
    <w:p>
      <w:pPr>
        <w:pStyle w:val="Normal"/>
        <w:spacing w:lineRule="exact" w:line="200" w:before="0" w:after="43"/>
        <w:ind w:left="11" w:hanging="0"/>
        <w:rPr/>
      </w:pPr>
      <w:r>
        <w:rPr/>
      </w:r>
    </w:p>
    <w:p>
      <w:pPr>
        <w:pStyle w:val="Normal"/>
        <w:rPr/>
      </w:pPr>
      <w:r>
        <w:rPr/>
        <w:t>エ　市教育委員会及び校長は、学校と地域・保護者が共に子どもの健全な成長のための教育、スポーツ環境の充実を支援するパートナーという考え方の下で、こうした取組を推進することについて、保護者の理解と協力を促す。</w:t>
      </w:r>
    </w:p>
    <w:p>
      <w:pPr>
        <w:pStyle w:val="Normal"/>
        <w:rPr/>
      </w:pPr>
      <w:r>
        <w:rPr/>
      </w:r>
    </w:p>
    <w:p>
      <w:pPr>
        <w:pStyle w:val="Normal"/>
        <w:spacing w:lineRule="auto" w:line="259" w:before="0" w:after="240"/>
        <w:ind w:left="10" w:hanging="0"/>
        <w:rPr>
          <w:rFonts w:ascii="ＭＳ ゴシック" w:hAnsi="ＭＳ ゴシック" w:eastAsia="ＭＳ ゴシック"/>
          <w:b/>
          <w:b/>
          <w:sz w:val="28"/>
          <w:szCs w:val="28"/>
        </w:rPr>
      </w:pPr>
      <w:r>
        <w:rPr>
          <w:rFonts w:ascii="ＭＳ ゴシック" w:hAnsi="ＭＳ ゴシック" w:eastAsia="ＭＳ ゴシック"/>
          <w:b/>
          <w:sz w:val="28"/>
          <w:szCs w:val="28"/>
        </w:rPr>
        <w:t>５　学校単位で参加する大会等の見直し</w:t>
      </w:r>
    </w:p>
    <w:p>
      <w:pPr>
        <w:pStyle w:val="Normal"/>
        <w:rPr/>
      </w:pPr>
      <w:r>
        <w:rPr/>
        <w:t>ア　市教育委員会は、学校の運動部が参加する大会・試合の全体像を把握し、生徒や運動部顧問の過度な負担となる状況がある場合は、大会等の主催者に対して、大会等の精選を行う等の是正を要求する。</w:t>
      </w:r>
    </w:p>
    <w:p>
      <w:pPr>
        <w:pStyle w:val="Normal"/>
        <w:spacing w:lineRule="exact" w:line="200" w:before="0" w:after="43"/>
        <w:ind w:left="11" w:hanging="0"/>
        <w:rPr/>
      </w:pPr>
      <w:r>
        <w:rPr/>
      </w:r>
    </w:p>
    <w:p>
      <w:pPr>
        <w:pStyle w:val="Normal"/>
        <w:widowControl/>
        <w:bidi w:val="0"/>
        <w:spacing w:lineRule="auto" w:line="290" w:before="0" w:after="25"/>
        <w:ind w:left="471" w:hanging="250"/>
        <w:jc w:val="left"/>
        <w:rPr/>
      </w:pPr>
      <w:r>
        <w:rPr/>
        <w:t>イ　校長は、生徒の教育上の意義や、生徒や運動部顧問の負担が過度とならないことを考慮して、参加する大会等を精査する。</w:t>
      </w:r>
    </w:p>
    <w:sectPr>
      <w:footerReference w:type="default" r:id="rId2"/>
      <w:type w:val="nextPage"/>
      <w:pgSz w:w="11906" w:h="16838"/>
      <w:pgMar w:left="1070" w:right="1133" w:header="0" w:top="904" w:footer="680" w:bottom="150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ＭＳ 明朝">
    <w:charset w:val="80"/>
    <w:family w:val="swiss"/>
    <w:pitch w:val="variable"/>
  </w:font>
  <w:font w:name="游ゴシック Light">
    <w:charset w:val="80"/>
    <w:family w:val="roman"/>
    <w:pitch w:val="variable"/>
  </w:font>
  <w:font w:name="ＭＳ ゴシック">
    <w:charset w:val="80"/>
    <w:family w:val="roman"/>
    <w:pitch w:val="variable"/>
  </w:font>
  <w:font w:name="Liberation Sans">
    <w:altName w:val="Arial"/>
    <w:charset w:val="80"/>
    <w:family w:val="roman"/>
    <w:pitch w:val="variable"/>
  </w:font>
  <w:font w:name="Century">
    <w:charset w:val="80"/>
    <w:family w:val="roman"/>
    <w:pitch w:val="variable"/>
  </w:font>
  <w:font w:name="ＭＳ 明朝">
    <w:charset w:val="01"/>
    <w:family w:val="roma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231" w:hanging="0"/>
      <w:jc w:val="center"/>
      <w:rPr/>
    </w:pPr>
    <w:r>
      <w:rPr/>
      <w:fldChar w:fldCharType="begin"/>
    </w:r>
    <w:r>
      <w:instrText> PAGE </w:instrText>
    </w:r>
    <w:r>
      <w:fldChar w:fldCharType="separate"/>
    </w:r>
    <w:r>
      <w:t>5</w:t>
    </w:r>
    <w:r>
      <w:fldChar w:fldCharType="end"/>
    </w:r>
    <w:r>
      <w:rPr>
        <w:sz w:val="21"/>
      </w:rPr>
      <w:t xml:space="preserve"> </w:t>
    </w:r>
  </w:p>
  <w:p>
    <w:pPr>
      <w:pStyle w:val="Normal"/>
      <w:spacing w:lineRule="auto" w:line="259" w:before="0" w:after="0"/>
      <w:ind w:left="10" w:hanging="0"/>
      <w:rPr/>
    </w:pPr>
    <w:r>
      <w:rPr>
        <w:rFonts w:ascii="Century" w:hAnsi="Century" w:cs="Century" w:eastAsia="Century"/>
        <w:sz w:val="21"/>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FullWidth"/>
      <w:lvlText w:val="（%1）"/>
      <w:lvlJc w:val="left"/>
      <w:pPr>
        <w:ind w:left="765" w:hanging="765"/>
      </w:pPr>
      <w:rPr>
        <w:b/>
        <w:rFonts w:ascii="ＭＳ ゴシック" w:hAnsi="ＭＳ ゴシック"/>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
      <w:lvlText w:val="%1"/>
      <w:lvlJc w:val="left"/>
      <w:pPr>
        <w:ind w:left="840" w:hanging="360"/>
      </w:pPr>
    </w:lvl>
    <w:lvl w:ilvl="1">
      <w:start w:val="1"/>
      <w:numFmt w:val="bullet"/>
      <w:lvlText w:val="・"/>
      <w:lvlJc w:val="left"/>
      <w:pPr>
        <w:ind w:left="1260" w:hanging="360"/>
      </w:pPr>
      <w:rPr>
        <w:rFonts w:ascii="ＭＳ 明朝" w:hAnsi="ＭＳ 明朝" w:cs="ＭＳ 明朝" w:hint="default"/>
        <w:rFonts w:cs="ＭＳ 明朝"/>
      </w:r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
      <w:lvlText w:val="%9"/>
      <w:lvlJc w:val="left"/>
      <w:pPr>
        <w:ind w:left="4260" w:hanging="42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90" w:before="0" w:after="25"/>
      <w:ind w:left="471" w:hanging="250"/>
      <w:jc w:val="left"/>
    </w:pPr>
    <w:rPr>
      <w:rFonts w:ascii="ＭＳ 明朝" w:hAnsi="ＭＳ 明朝" w:eastAsia="ＭＳ 明朝" w:cs="ＭＳ 明朝"/>
      <w:color w:val="000000"/>
      <w:sz w:val="24"/>
      <w:szCs w:val="22"/>
      <w:lang w:val="en-US" w:eastAsia="ja-JP" w:bidi="ar-SA"/>
    </w:rPr>
  </w:style>
  <w:style w:type="paragraph" w:styleId="1">
    <w:name w:val="Heading 1"/>
    <w:basedOn w:val="Style16"/>
    <w:link w:val="10"/>
    <w:uiPriority w:val="9"/>
    <w:unhideWhenUsed/>
    <w:qFormat/>
    <w:pPr>
      <w:keepNext/>
      <w:keepLines/>
      <w:widowControl/>
      <w:bidi w:val="0"/>
      <w:spacing w:lineRule="auto" w:line="259" w:before="240" w:after="153"/>
      <w:ind w:left="20" w:hanging="10"/>
      <w:jc w:val="left"/>
      <w:outlineLvl w:val="0"/>
    </w:pPr>
    <w:rPr>
      <w:rFonts w:ascii="ＭＳ 明朝" w:hAnsi="ＭＳ 明朝" w:eastAsia="ＭＳ 明朝" w:cs="ＭＳ 明朝"/>
      <w:color w:val="000000"/>
      <w:sz w:val="28"/>
    </w:rPr>
  </w:style>
  <w:style w:type="paragraph" w:styleId="2">
    <w:name w:val="Heading 2"/>
    <w:basedOn w:val="Style16"/>
    <w:link w:val="20"/>
    <w:uiPriority w:val="9"/>
    <w:unhideWhenUsed/>
    <w:qFormat/>
    <w:pPr>
      <w:keepNext/>
      <w:keepLines/>
      <w:widowControl/>
      <w:bidi w:val="0"/>
      <w:spacing w:lineRule="auto" w:line="259" w:before="240" w:after="89"/>
      <w:ind w:left="20" w:hanging="10"/>
      <w:jc w:val="left"/>
      <w:outlineLvl w:val="1"/>
    </w:pPr>
    <w:rPr>
      <w:rFonts w:ascii="ＭＳ 明朝" w:hAnsi="ＭＳ 明朝" w:eastAsia="ＭＳ 明朝" w:cs="ＭＳ 明朝"/>
      <w:color w:val="000000"/>
      <w:sz w:val="24"/>
    </w:rPr>
  </w:style>
  <w:style w:type="character" w:styleId="DefaultParagraphFont" w:default="1">
    <w:name w:val="Default Paragraph Font"/>
    <w:uiPriority w:val="1"/>
    <w:semiHidden/>
    <w:unhideWhenUsed/>
    <w:qFormat/>
    <w:rPr/>
  </w:style>
  <w:style w:type="character" w:styleId="21" w:customStyle="1">
    <w:name w:val="見出し 2 (文字)"/>
    <w:link w:val="2"/>
    <w:qFormat/>
    <w:rPr>
      <w:rFonts w:ascii="ＭＳ 明朝" w:hAnsi="ＭＳ 明朝" w:eastAsia="ＭＳ 明朝" w:cs="ＭＳ 明朝"/>
      <w:color w:val="000000"/>
      <w:sz w:val="24"/>
    </w:rPr>
  </w:style>
  <w:style w:type="character" w:styleId="11" w:customStyle="1">
    <w:name w:val="見出し 1 (文字)"/>
    <w:link w:val="1"/>
    <w:qFormat/>
    <w:rPr>
      <w:rFonts w:ascii="ＭＳ 明朝" w:hAnsi="ＭＳ 明朝" w:eastAsia="ＭＳ 明朝" w:cs="ＭＳ 明朝"/>
      <w:color w:val="000000"/>
      <w:sz w:val="28"/>
    </w:rPr>
  </w:style>
  <w:style w:type="character" w:styleId="FootnotedescriptionChar" w:customStyle="1">
    <w:name w:val="footnote description Char"/>
    <w:link w:val="footnotedescription"/>
    <w:qFormat/>
    <w:rPr>
      <w:rFonts w:ascii="ＭＳ 明朝" w:hAnsi="ＭＳ 明朝" w:eastAsia="ＭＳ 明朝" w:cs="ＭＳ 明朝"/>
      <w:color w:val="000000"/>
      <w:sz w:val="20"/>
    </w:rPr>
  </w:style>
  <w:style w:type="character" w:styleId="Footnotemark" w:customStyle="1">
    <w:name w:val="footnote mark"/>
    <w:qFormat/>
    <w:rPr>
      <w:rFonts w:ascii="ＭＳ 明朝" w:hAnsi="ＭＳ 明朝" w:eastAsia="ＭＳ 明朝" w:cs="ＭＳ 明朝"/>
      <w:color w:val="000000"/>
      <w:sz w:val="20"/>
      <w:vertAlign w:val="superscript"/>
    </w:rPr>
  </w:style>
  <w:style w:type="character" w:styleId="Style12" w:customStyle="1">
    <w:name w:val="日付 (文字)"/>
    <w:basedOn w:val="DefaultParagraphFont"/>
    <w:link w:val="a3"/>
    <w:uiPriority w:val="99"/>
    <w:semiHidden/>
    <w:qFormat/>
    <w:rsid w:val="004519f2"/>
    <w:rPr>
      <w:rFonts w:ascii="ＭＳ 明朝" w:hAnsi="ＭＳ 明朝" w:eastAsia="ＭＳ 明朝" w:cs="ＭＳ 明朝"/>
      <w:color w:val="000000"/>
      <w:sz w:val="24"/>
    </w:rPr>
  </w:style>
  <w:style w:type="character" w:styleId="Style13" w:customStyle="1">
    <w:name w:val="ヘッダー (文字)"/>
    <w:basedOn w:val="DefaultParagraphFont"/>
    <w:link w:val="a6"/>
    <w:uiPriority w:val="99"/>
    <w:qFormat/>
    <w:rsid w:val="002303ab"/>
    <w:rPr>
      <w:rFonts w:ascii="ＭＳ 明朝" w:hAnsi="ＭＳ 明朝" w:eastAsia="ＭＳ 明朝" w:cs="ＭＳ 明朝"/>
      <w:color w:val="000000"/>
      <w:sz w:val="24"/>
    </w:rPr>
  </w:style>
  <w:style w:type="character" w:styleId="Style14" w:customStyle="1">
    <w:name w:val="吹き出し (文字)"/>
    <w:basedOn w:val="DefaultParagraphFont"/>
    <w:link w:val="a8"/>
    <w:uiPriority w:val="99"/>
    <w:semiHidden/>
    <w:qFormat/>
    <w:rsid w:val="00364532"/>
    <w:rPr>
      <w:rFonts w:ascii="游ゴシック Light" w:hAnsi="游ゴシック Light" w:eastAsia="" w:cs="游ゴシック Light" w:asciiTheme="majorHAnsi" w:cstheme="majorBidi" w:eastAsiaTheme="majorEastAsia" w:hAnsiTheme="majorHAnsi"/>
      <w:color w:val="000000"/>
      <w:sz w:val="18"/>
      <w:szCs w:val="18"/>
    </w:rPr>
  </w:style>
  <w:style w:type="character" w:styleId="ListLabel1">
    <w:name w:val="ListLabel 1"/>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
    <w:name w:val="ListLabel 2"/>
    <w:qFormat/>
    <w:rPr>
      <w:rFonts w:eastAsia="ＭＳ 明朝" w:cs="ＭＳ 明朝"/>
      <w:b w:val="false"/>
      <w:i w:val="false"/>
      <w:strike w:val="false"/>
      <w:dstrike w:val="false"/>
      <w:color w:val="000000"/>
      <w:position w:val="0"/>
      <w:sz w:val="24"/>
      <w:sz w:val="24"/>
      <w:szCs w:val="24"/>
      <w:highlight w:val="white"/>
      <w:u w:val="none" w:color="000000"/>
      <w:vertAlign w:val="baseline"/>
      <w:lang w:val="en-US"/>
    </w:rPr>
  </w:style>
  <w:style w:type="character" w:styleId="ListLabel3">
    <w:name w:val="ListLabel 3"/>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
    <w:name w:val="ListLabel 4"/>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
    <w:name w:val="ListLabel 5"/>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6">
    <w:name w:val="ListLabel 6"/>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7">
    <w:name w:val="ListLabel 7"/>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8">
    <w:name w:val="ListLabel 8"/>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9">
    <w:name w:val="ListLabel 9"/>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10">
    <w:name w:val="ListLabel 10"/>
    <w:qFormat/>
    <w:rPr>
      <w:rFonts w:eastAsia="ＭＳ 明朝" w:cs="ＭＳ 明朝"/>
      <w:b w:val="false"/>
      <w:i w:val="false"/>
      <w:strike w:val="false"/>
      <w:dstrike w:val="false"/>
      <w:color w:val="000000"/>
      <w:position w:val="0"/>
      <w:sz w:val="20"/>
      <w:sz w:val="20"/>
      <w:szCs w:val="20"/>
      <w:highlight w:val="white"/>
      <w:u w:val="none" w:color="000000"/>
      <w:vertAlign w:val="baseline"/>
    </w:rPr>
  </w:style>
  <w:style w:type="character" w:styleId="ListLabel11">
    <w:name w:val="ListLabel 11"/>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12">
    <w:name w:val="ListLabel 12"/>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13">
    <w:name w:val="ListLabel 13"/>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14">
    <w:name w:val="ListLabel 14"/>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15">
    <w:name w:val="ListLabel 15"/>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16">
    <w:name w:val="ListLabel 16"/>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17">
    <w:name w:val="ListLabel 17"/>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18">
    <w:name w:val="ListLabel 18"/>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19">
    <w:name w:val="ListLabel 19"/>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0">
    <w:name w:val="ListLabel 20"/>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1">
    <w:name w:val="ListLabel 21"/>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2">
    <w:name w:val="ListLabel 22"/>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3">
    <w:name w:val="ListLabel 23"/>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4">
    <w:name w:val="ListLabel 24"/>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5">
    <w:name w:val="ListLabel 25"/>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6">
    <w:name w:val="ListLabel 26"/>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7">
    <w:name w:val="ListLabel 27"/>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8">
    <w:name w:val="ListLabel 28"/>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29">
    <w:name w:val="ListLabel 29"/>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0">
    <w:name w:val="ListLabel 30"/>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1">
    <w:name w:val="ListLabel 31"/>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2">
    <w:name w:val="ListLabel 32"/>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3">
    <w:name w:val="ListLabel 33"/>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4">
    <w:name w:val="ListLabel 34"/>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5">
    <w:name w:val="ListLabel 35"/>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6">
    <w:name w:val="ListLabel 36"/>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7">
    <w:name w:val="ListLabel 37"/>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8">
    <w:name w:val="ListLabel 38"/>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39">
    <w:name w:val="ListLabel 39"/>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0">
    <w:name w:val="ListLabel 40"/>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1">
    <w:name w:val="ListLabel 41"/>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2">
    <w:name w:val="ListLabel 42"/>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3">
    <w:name w:val="ListLabel 43"/>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4">
    <w:name w:val="ListLabel 44"/>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5">
    <w:name w:val="ListLabel 45"/>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6">
    <w:name w:val="ListLabel 46"/>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7">
    <w:name w:val="ListLabel 47"/>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8">
    <w:name w:val="ListLabel 48"/>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49">
    <w:name w:val="ListLabel 49"/>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0">
    <w:name w:val="ListLabel 50"/>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1">
    <w:name w:val="ListLabel 51"/>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2">
    <w:name w:val="ListLabel 52"/>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3">
    <w:name w:val="ListLabel 53"/>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4">
    <w:name w:val="ListLabel 54"/>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5">
    <w:name w:val="ListLabel 55"/>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6">
    <w:name w:val="ListLabel 56"/>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7">
    <w:name w:val="ListLabel 57"/>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8">
    <w:name w:val="ListLabel 58"/>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59">
    <w:name w:val="ListLabel 59"/>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60">
    <w:name w:val="ListLabel 60"/>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61">
    <w:name w:val="ListLabel 61"/>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62">
    <w:name w:val="ListLabel 62"/>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63">
    <w:name w:val="ListLabel 63"/>
    <w:qFormat/>
    <w:rPr>
      <w:rFonts w:eastAsia="ＭＳ 明朝" w:cs="ＭＳ 明朝"/>
      <w:b w:val="false"/>
      <w:i w:val="false"/>
      <w:strike w:val="false"/>
      <w:dstrike w:val="false"/>
      <w:color w:val="000000"/>
      <w:position w:val="0"/>
      <w:sz w:val="24"/>
      <w:sz w:val="24"/>
      <w:szCs w:val="24"/>
      <w:highlight w:val="white"/>
      <w:u w:val="none" w:color="000000"/>
      <w:vertAlign w:val="baseline"/>
    </w:rPr>
  </w:style>
  <w:style w:type="character" w:styleId="ListLabel64">
    <w:name w:val="ListLabel 64"/>
    <w:qFormat/>
    <w:rPr>
      <w:rFonts w:eastAsia="ＭＳ 明朝" w:cs="ＭＳ 明朝"/>
    </w:rPr>
  </w:style>
  <w:style w:type="character" w:styleId="ListLabel65">
    <w:name w:val="ListLabel 65"/>
    <w:qFormat/>
    <w:rPr>
      <w:rFonts w:eastAsia="ＭＳ 明朝" w:cs="ＭＳ 明朝"/>
    </w:rPr>
  </w:style>
  <w:style w:type="character" w:styleId="ListLabel66">
    <w:name w:val="ListLabel 66"/>
    <w:qFormat/>
    <w:rPr>
      <w:rFonts w:eastAsia="ＭＳ 明朝" w:cs="ＭＳ 明朝"/>
      <w:sz w:val="24"/>
      <w:u w:val="none"/>
    </w:rPr>
  </w:style>
  <w:style w:type="character" w:styleId="ListLabel67">
    <w:name w:val="ListLabel 67"/>
    <w:qFormat/>
    <w:rPr>
      <w:rFonts w:ascii="ＭＳ ゴシック" w:hAnsi="ＭＳ ゴシック"/>
      <w:b/>
    </w:rPr>
  </w:style>
  <w:style w:type="character" w:styleId="ListLabel68">
    <w:name w:val="ListLabel 68"/>
    <w:qFormat/>
    <w:rPr>
      <w:rFonts w:eastAsia="ＭＳ 明朝" w:cs="ＭＳ 明朝"/>
    </w:rPr>
  </w:style>
  <w:style w:type="character" w:styleId="Style15">
    <w:name w:val="脚注番号"/>
    <w:qFormat/>
    <w:rPr/>
  </w:style>
  <w:style w:type="character" w:styleId="ListLabel69">
    <w:name w:val="ListLabel 69"/>
    <w:qFormat/>
    <w:rPr>
      <w:rFonts w:ascii="ＭＳ ゴシック" w:hAnsi="ＭＳ ゴシック"/>
      <w:b/>
    </w:rPr>
  </w:style>
  <w:style w:type="character" w:styleId="ListLabel70">
    <w:name w:val="ListLabel 70"/>
    <w:qFormat/>
    <w:rPr>
      <w:rFonts w:cs="ＭＳ 明朝"/>
    </w:rPr>
  </w:style>
  <w:style w:type="character" w:styleId="ListLabel71">
    <w:name w:val="ListLabel 71"/>
    <w:qFormat/>
    <w:rPr>
      <w:rFonts w:ascii="ＭＳ ゴシック" w:hAnsi="ＭＳ ゴシック"/>
      <w:b/>
    </w:rPr>
  </w:style>
  <w:style w:type="character" w:styleId="ListLabel72">
    <w:name w:val="ListLabel 72"/>
    <w:qFormat/>
    <w:rPr>
      <w:rFonts w:cs="ＭＳ 明朝"/>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Footnotedescription" w:customStyle="1">
    <w:name w:val="footnote description"/>
    <w:link w:val="footnotedescriptionChar"/>
    <w:qFormat/>
    <w:pPr>
      <w:widowControl/>
      <w:bidi w:val="0"/>
      <w:spacing w:lineRule="auto" w:line="290" w:before="0" w:after="46"/>
      <w:ind w:left="210" w:hanging="200"/>
      <w:jc w:val="left"/>
    </w:pPr>
    <w:rPr>
      <w:rFonts w:ascii="ＭＳ 明朝" w:hAnsi="ＭＳ 明朝" w:eastAsia="ＭＳ 明朝" w:cs="ＭＳ 明朝"/>
      <w:color w:val="000000"/>
      <w:sz w:val="20"/>
      <w:szCs w:val="22"/>
      <w:lang w:val="en-US" w:eastAsia="ja-JP" w:bidi="ar-SA"/>
    </w:rPr>
  </w:style>
  <w:style w:type="paragraph" w:styleId="Date">
    <w:name w:val="Date"/>
    <w:basedOn w:val="Normal"/>
    <w:link w:val="a4"/>
    <w:uiPriority w:val="99"/>
    <w:semiHidden/>
    <w:unhideWhenUsed/>
    <w:qFormat/>
    <w:rsid w:val="004519f2"/>
    <w:pPr/>
    <w:rPr/>
  </w:style>
  <w:style w:type="paragraph" w:styleId="ListParagraph">
    <w:name w:val="List Paragraph"/>
    <w:basedOn w:val="Normal"/>
    <w:uiPriority w:val="34"/>
    <w:qFormat/>
    <w:rsid w:val="00d37f63"/>
    <w:pPr>
      <w:ind w:left="840" w:hanging="250"/>
    </w:pPr>
    <w:rPr/>
  </w:style>
  <w:style w:type="paragraph" w:styleId="Style21">
    <w:name w:val="Header"/>
    <w:basedOn w:val="Normal"/>
    <w:link w:val="a7"/>
    <w:uiPriority w:val="99"/>
    <w:unhideWhenUsed/>
    <w:rsid w:val="002303ab"/>
    <w:pPr>
      <w:tabs>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364532"/>
    <w:pPr>
      <w:spacing w:lineRule="auto" w:line="240" w:before="0" w:after="0"/>
    </w:pPr>
    <w:rPr>
      <w:rFonts w:ascii="游ゴシック Light" w:hAnsi="游ゴシック Light" w:eastAsia="" w:cs="游ゴシック Light" w:asciiTheme="majorHAnsi" w:cstheme="majorBidi" w:eastAsiaTheme="majorEastAsia" w:hAnsiTheme="majorHAnsi"/>
      <w:sz w:val="18"/>
      <w:szCs w:val="18"/>
    </w:rPr>
  </w:style>
  <w:style w:type="paragraph" w:styleId="Style22">
    <w:name w:val="Footer"/>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985</TotalTime>
  <Application>LibreOffice/5.2.7.2$Windows_x86 LibreOffice_project/2b7f1e640c46ceb28adf43ee075a6e8b8439ed10</Application>
  <Pages>5</Pages>
  <Words>4316</Words>
  <Characters>4328</Characters>
  <CharactersWithSpaces>4432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2018-10-18T05:00:00Z</dcterms:created>
  <dc:creator>東京都</dc:creator>
  <dc:description/>
  <dc:language>ja-JP</dc:language>
  <cp:lastModifiedBy/>
  <cp:lastPrinted>2018-12-17T07:26:00Z</cp:lastPrinted>
  <dcterms:modified xsi:type="dcterms:W3CDTF">2019-12-24T13:30:40Z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